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APÊNDICE II DO ANEXO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INSTRUMENTO DE MEDIÇÃO DE RESULTADOS (IMR)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 DEFINIÇÃO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Este documento apresenta os critérios de avaliação da qualidade dos serviços, identificando indicadores, metas, mecanismos de cálculo, forma de acompanhamento e adequações de pagamento por eventual não atendimento das metas estabelecidas.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Este anexo é parte indissociável do Contrato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firmado a partir do Edital do Pregão Eletrônico nº </w:t>
      </w:r>
      <w:r w:rsidDel="00000000" w:rsidR="00000000" w:rsidRPr="00000000">
        <w:rPr>
          <w:rtl w:val="0"/>
        </w:rPr>
        <w:t xml:space="preserve">90021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</w:t>
      </w:r>
      <w:r w:rsidDel="00000000" w:rsidR="00000000" w:rsidRPr="00000000">
        <w:rPr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 de seus demais anexos.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 utilização do referido Instrumento de Medição serão observadas as cláusulas e disposições contidas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highlight w:val="lightGray"/>
          <w:u w:val="none"/>
          <w:vertAlign w:val="baseline"/>
          <w:rtl w:val="0"/>
        </w:rPr>
        <w:t xml:space="preserve">Termo de Referência – Anexo 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deste Edital.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DOS INDICADORES, DAS METAS E DOS MECANISMOS DE CÁLCULO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Os serviços e produtos da CONTRATADA serão avaliados por meio de dois indicadores de qualidade: tempo de resposta às solicitações da contratante e formulário de qualidade dos serviços prestados.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Aos indicadores serão atribuídos pontos de qualidade, conforme critérios apresentados nas tabelas abaixo.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 indicador contribui com uma quantidade diferenciada de pontos de qualidade. Essa diferença está relacionada à essencialidade do indicador para a qualidade dos serviços.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pontuação final de qualidade dos serviços pode resultar em valores entre 0 (zero) e 100 (cem), correspondentes respectivamente às situações de serviço desprovido de qualidade e serviço com qualidade elevada.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ajuste de pagamento não será necessário a abertura de processo administrativo. Para aplicação das multas acima estabelecidas será garantida a ampla defesa e o contraditório.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tabelas abaixo apresentam os indicadores, as metas, os critérios e os mecanismos de cálculo da pontuação de qualidade.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INDICADOR 1 – TEMPO DE ATENDIMENTO DO SUPORTE PELA CONTRATADA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Mensurar o tempo de resposta às solicitações de suporte da contratante.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Até 12 (doze) horas após a solicitação.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Constatação formal de ocorrências.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Pessoal.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Por evento/solicitação à contratante.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Verificação da quantidade de ocorrências registradas com tempo de resposta superior a meta. 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Sem atrasos: 50 pontos</w:t>
            </w:r>
          </w:p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 ou mais retornos com atraso: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b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77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90"/>
        <w:gridCol w:w="5685"/>
        <w:tblGridChange w:id="0">
          <w:tblGrid>
            <w:gridCol w:w="3090"/>
            <w:gridCol w:w="5685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D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INDICADOR 2 – TEMPO DE LINK ONLINE E VELOCIDADE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Garantir a permanência do link onlin</w:t>
            </w:r>
            <w:r w:rsidDel="00000000" w:rsidR="00000000" w:rsidRPr="00000000">
              <w:rPr>
                <w:rtl w:val="0"/>
              </w:rPr>
              <w:t xml:space="preserve">e na velocidade de 500 MBps full-duplex pela contratada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Não haver ocorrência de link off-line ou perda da velocidade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Constatação formal de ocorrências.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Pessoal.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Mensal.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Verificação da quantidade de ocorrências registradas de link off-line e ou parâmetro de velocidade em desacordo com o contratado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Sem ocorrências: 50 pontos</w:t>
            </w:r>
          </w:p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 ocorrência: 40 pontos</w:t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 ocorrências: 20 pontos</w:t>
            </w:r>
          </w:p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 ocorrências: 5 pontos</w:t>
            </w:r>
          </w:p>
          <w:p w:rsidR="00000000" w:rsidDel="00000000" w:rsidP="00000000" w:rsidRDefault="00000000" w:rsidRPr="00000000" w14:paraId="0000004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 ou mais ocorrências: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>
                <w:b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Os quesitos avaliados na pesquisa encontram-se no formulário abaixo.</w:t>
            </w:r>
          </w:p>
        </w:tc>
      </w:tr>
    </w:tbl>
    <w:p w:rsidR="00000000" w:rsidDel="00000000" w:rsidP="00000000" w:rsidRDefault="00000000" w:rsidRPr="00000000" w14:paraId="0000004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FAIXAS DE AJUSTE DE PAGAMENTO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pontuações de qualidade devem ser totalizadas para o mês de referência, conforme métodos apresentados nas tabelas acima.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aplicação dos critérios de averiguação da qualidade resultará em uma pontuação final no intervalo de 0 a 100 pontos, correspondente à soma das pontuações obtidas para cada indicador, conforme fórmula abaixo:</w:t>
      </w:r>
    </w:p>
    <w:tbl>
      <w:tblPr>
        <w:tblStyle w:val="Table3"/>
        <w:tblW w:w="8614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246"/>
        <w:gridCol w:w="5368"/>
        <w:tblGridChange w:id="0">
          <w:tblGrid>
            <w:gridCol w:w="3246"/>
            <w:gridCol w:w="53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Pontuação total do serviço =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Pontos “Indicador 1” + Pontos “Indicador 2”.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Os pagamentos devidos, relativos a cada mês de referência, devem ser ajustados pela pontuação total do serviço, conforme tabela e fórmula apresentadas abaixo: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4"/>
        <w:tblpPr w:leftFromText="141" w:rightFromText="141" w:topFromText="0" w:bottomFromText="0" w:vertAnchor="text" w:horzAnchor="text" w:tblpX="-17" w:tblpY="126"/>
        <w:tblW w:w="857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6"/>
        <w:gridCol w:w="3305"/>
        <w:gridCol w:w="2804"/>
        <w:tblGridChange w:id="0">
          <w:tblGrid>
            <w:gridCol w:w="2466"/>
            <w:gridCol w:w="3305"/>
            <w:gridCol w:w="2804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Faixas de pontuação de qualidade da ordem de serviço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Pagamento devido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Fator de ajuste de nível de serviço</w:t>
            </w:r>
          </w:p>
        </w:tc>
      </w:tr>
      <w:tr>
        <w:trPr>
          <w:cantSplit w:val="0"/>
          <w:trHeight w:val="512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 80 a 100 pontos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100% do valor previsto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1,00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 70 a 79 pontos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97% do valor previsto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0,97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 60 a 69 pontos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95% do valor previsto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0,95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 50 a 59 pontos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93% do valor previsto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0,93</w:t>
            </w:r>
          </w:p>
        </w:tc>
      </w:tr>
      <w:tr>
        <w:trPr>
          <w:cantSplit w:val="0"/>
          <w:trHeight w:val="138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 40 a 49 pontos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90% do valor previsto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0,90</w:t>
            </w:r>
          </w:p>
        </w:tc>
      </w:tr>
      <w:tr>
        <w:trPr>
          <w:cantSplit w:val="0"/>
          <w:trHeight w:val="126" w:hRule="atLeast"/>
          <w:tblHeader w:val="0"/>
        </w:trPr>
        <w:tc>
          <w:tcPr/>
          <w:p w:rsidR="00000000" w:rsidDel="00000000" w:rsidP="00000000" w:rsidRDefault="00000000" w:rsidRPr="00000000" w14:paraId="00000065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Abaixo de 40 pontos</w:t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90% do valor previsto + multa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0,90 + avaliar necessidade de aplicação de multa contratual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68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devido por ordem de serviço = [(Valor mensal previsto) X (Fator de ajuste de nível de serviço)]</w:t>
            </w:r>
          </w:p>
        </w:tc>
      </w:tr>
    </w:tbl>
    <w:p w:rsidR="00000000" w:rsidDel="00000000" w:rsidP="00000000" w:rsidRDefault="00000000" w:rsidRPr="00000000" w14:paraId="0000006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 avaliação abaixo de 40 pontos por três vezes poderá ensejar a rescisão do contrato.</w:t>
      </w:r>
    </w:p>
    <w:p w:rsidR="00000000" w:rsidDel="00000000" w:rsidP="00000000" w:rsidRDefault="00000000" w:rsidRPr="00000000" w14:paraId="0000006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CHECK LIST PARA A AVALIAÇÃO DE NÍVEL DE SERVIÇOS</w:t>
      </w:r>
    </w:p>
    <w:p w:rsidR="00000000" w:rsidDel="00000000" w:rsidP="00000000" w:rsidRDefault="00000000" w:rsidRPr="00000000" w14:paraId="0000006F">
      <w:pPr>
        <w:tabs>
          <w:tab w:val="left" w:leader="none" w:pos="990"/>
        </w:tabs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1"/>
        <w:gridCol w:w="2386"/>
        <w:gridCol w:w="1995"/>
        <w:gridCol w:w="2462"/>
        <w:tblGridChange w:id="0">
          <w:tblGrid>
            <w:gridCol w:w="1801"/>
            <w:gridCol w:w="2386"/>
            <w:gridCol w:w="1995"/>
            <w:gridCol w:w="2462"/>
          </w:tblGrid>
        </w:tblGridChange>
      </w:tblGrid>
      <w:tr>
        <w:trPr>
          <w:cantSplit w:val="0"/>
          <w:trHeight w:val="125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Indicador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Critério (Faixas de Pontuação)</w:t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Pontos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Avaliação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– Tempo de resposta às solicitações da contratante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Sem atrasos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ou mais retornos com atraso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– Qualidade dos serviços prestados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Sem ocorrências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ocorrência de link off-line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ocorrências de link off-line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ocorrências de link off-line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ou mais ocorrências de link off-line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Pontuação Total do Serviço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94">
      <w:pPr>
        <w:tabs>
          <w:tab w:val="left" w:leader="none" w:pos="99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Coordenadoria de Licitações e Contratos</w:t>
    </w:r>
  </w:p>
  <w:p w:rsidR="00000000" w:rsidDel="00000000" w:rsidP="00000000" w:rsidRDefault="00000000" w:rsidRPr="00000000" w14:paraId="0000009E">
    <w:pPr>
      <w:tabs>
        <w:tab w:val="center" w:leader="none" w:pos="4252"/>
        <w:tab w:val="right" w:leader="none" w:pos="8504"/>
      </w:tabs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Rua Nelsi Ribas Fritsch, 1111 | Bairro Esperança | Ibirubá/RS | CEP: 98200-000</w:t>
    </w:r>
  </w:p>
  <w:p w:rsidR="00000000" w:rsidDel="00000000" w:rsidP="00000000" w:rsidRDefault="00000000" w:rsidRPr="00000000" w14:paraId="0000009F">
    <w:pPr>
      <w:tabs>
        <w:tab w:val="center" w:leader="none" w:pos="4252"/>
        <w:tab w:val="right" w:leader="none" w:pos="8504"/>
      </w:tabs>
      <w:jc w:val="center"/>
      <w:rPr>
        <w:color w:val="000080"/>
        <w:u w:val="single"/>
      </w:rPr>
    </w:pPr>
    <w:r w:rsidDel="00000000" w:rsidR="00000000" w:rsidRPr="00000000">
      <w:rPr>
        <w:sz w:val="16"/>
        <w:szCs w:val="16"/>
        <w:rtl w:val="0"/>
      </w:rPr>
      <w:t xml:space="preserve">Fone: (054) 3324-8141 | </w:t>
    </w:r>
    <w:hyperlink r:id="rId1">
      <w:r w:rsidDel="00000000" w:rsidR="00000000" w:rsidRPr="00000000">
        <w:rPr>
          <w:color w:val="000080"/>
          <w:sz w:val="16"/>
          <w:szCs w:val="16"/>
          <w:u w:val="single"/>
          <w:rtl w:val="0"/>
        </w:rPr>
        <w:t xml:space="preserve">https://ifrs.edu.br/ibiruba/</w:t>
      </w:r>
    </w:hyperlink>
    <w:r w:rsidDel="00000000" w:rsidR="00000000" w:rsidRPr="00000000">
      <w:rPr>
        <w:sz w:val="16"/>
        <w:szCs w:val="16"/>
        <w:rtl w:val="0"/>
      </w:rPr>
      <w:t xml:space="preserve"> | </w:t>
    </w:r>
    <w:hyperlink r:id="rId2">
      <w:r w:rsidDel="00000000" w:rsidR="00000000" w:rsidRPr="00000000">
        <w:rPr>
          <w:color w:val="000080"/>
          <w:sz w:val="16"/>
          <w:szCs w:val="16"/>
          <w:u w:val="single"/>
          <w:rtl w:val="0"/>
        </w:rPr>
        <w:t xml:space="preserve">licitacao@ibiruba.ifrs.edu.br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rtl w:val="0"/>
      </w:rPr>
      <w:t xml:space="preserve">Página </w:t>
    </w:r>
    <w:r w:rsidDel="00000000" w:rsidR="00000000" w:rsidRPr="00000000">
      <w:rPr>
        <w:b w:val="1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de </w:t>
    </w:r>
    <w:r w:rsidDel="00000000" w:rsidR="00000000" w:rsidRPr="00000000">
      <w:rPr>
        <w:b w:val="1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22"/>
        <w:szCs w:val="22"/>
      </w:rPr>
      <w:drawing>
        <wp:inline distB="0" distT="0" distL="0" distR="0">
          <wp:extent cx="627380" cy="755015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7380" cy="7550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-380999</wp:posOffset>
          </wp:positionH>
          <wp:positionV relativeFrom="paragraph">
            <wp:posOffset>-95249</wp:posOffset>
          </wp:positionV>
          <wp:extent cx="1521460" cy="798195"/>
          <wp:effectExtent b="0" l="0" r="0" t="0"/>
          <wp:wrapNone/>
          <wp:docPr descr="Descrição: Descrição: logo_reitoria" id="4" name="image1.png"/>
          <a:graphic>
            <a:graphicData uri="http://schemas.openxmlformats.org/drawingml/2006/picture">
              <pic:pic>
                <pic:nvPicPr>
                  <pic:cNvPr descr="Descrição: Descrição: logo_reitoria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21460" cy="7981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6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jc w:val="center"/>
      <w:rPr/>
    </w:pPr>
    <w:r w:rsidDel="00000000" w:rsidR="00000000" w:rsidRPr="00000000">
      <w:rPr>
        <w:rtl w:val="0"/>
      </w:rPr>
      <w:t xml:space="preserve">SERVIÇO PÚBLICO FEDERAL</w:t>
    </w:r>
  </w:p>
  <w:p w:rsidR="00000000" w:rsidDel="00000000" w:rsidP="00000000" w:rsidRDefault="00000000" w:rsidRPr="00000000" w14:paraId="00000098">
    <w:pPr>
      <w:jc w:val="center"/>
      <w:rPr/>
    </w:pPr>
    <w:r w:rsidDel="00000000" w:rsidR="00000000" w:rsidRPr="00000000">
      <w:rPr>
        <w:rtl w:val="0"/>
      </w:rPr>
      <w:t xml:space="preserve">MINISTÉRIO DA EDUCAÇÃO</w:t>
    </w:r>
  </w:p>
  <w:p w:rsidR="00000000" w:rsidDel="00000000" w:rsidP="00000000" w:rsidRDefault="00000000" w:rsidRPr="00000000" w14:paraId="00000099">
    <w:pPr>
      <w:jc w:val="center"/>
      <w:rPr/>
    </w:pPr>
    <w:r w:rsidDel="00000000" w:rsidR="00000000" w:rsidRPr="00000000">
      <w:rPr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9A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rtl w:val="0"/>
      </w:rPr>
      <w:t xml:space="preserve">Instituto Federal de Educação, Ciência e Tecnologia do Rio Grande do Sul</w:t>
    </w:r>
  </w:p>
  <w:p w:rsidR="00000000" w:rsidDel="00000000" w:rsidP="00000000" w:rsidRDefault="00000000" w:rsidRPr="00000000" w14:paraId="0000009B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i w:val="1"/>
        <w:rtl w:val="0"/>
      </w:rPr>
      <w:t xml:space="preserve">Campus</w:t>
    </w:r>
    <w:r w:rsidDel="00000000" w:rsidR="00000000" w:rsidRPr="00000000">
      <w:rPr>
        <w:rtl w:val="0"/>
      </w:rPr>
      <w:t xml:space="preserve"> Ibirubá</w:t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2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1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288" w:hanging="719.9999999999999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abstractNum w:abstractNumId="3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3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C3203"/>
    <w:rPr>
      <w:rFonts w:ascii="Arial" w:cs="Tahoma" w:hAnsi="Arial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DC3203"/>
    <w:pPr>
      <w:keepNext w:val="1"/>
      <w:keepLines w:val="1"/>
      <w:spacing w:before="240"/>
      <w:outlineLvl w:val="0"/>
    </w:pPr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har"/>
    <w:qFormat w:val="1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  <w:lang w:eastAsia="x-none" w:val="x-none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ListaColorida-nfase11" w:customStyle="1">
    <w:name w:val="Lista Colorida - Ênfase 11"/>
    <w:basedOn w:val="Normal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cs="Times New Roman" w:hAnsi="Tahoma"/>
      <w:sz w:val="16"/>
      <w:szCs w:val="16"/>
      <w:lang w:eastAsia="x-none" w:val="x-none"/>
    </w:rPr>
  </w:style>
  <w:style w:type="character" w:styleId="TextodebaloChar" w:customStyle="1">
    <w:name w:val="Texto de balão Char"/>
    <w:link w:val="Textodebalo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4B460A"/>
    <w:pPr>
      <w:spacing w:after="120"/>
      <w:jc w:val="both"/>
    </w:pPr>
    <w:rPr>
      <w:rFonts w:cs="Times New Roman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 w:val="1"/>
    <w:rsid w:val="00C322F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cs="Times New Roman" w:eastAsia="Calibri"/>
      <w:i w:val="1"/>
      <w:iCs w:val="1"/>
      <w:color w:val="000000"/>
      <w:lang w:eastAsia="en-US" w:val="x-none"/>
    </w:rPr>
  </w:style>
  <w:style w:type="character" w:styleId="GradeColorida-nfase1Char" w:customStyle="1">
    <w:name w:val="Grade Colorida - Ênfase 1 Char"/>
    <w:link w:val="GradeColorida-nfase11"/>
    <w:uiPriority w:val="29"/>
    <w:rsid w:val="00C322F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 w:val="1"/>
    </w:pPr>
  </w:style>
  <w:style w:type="paragraph" w:styleId="citao2" w:customStyle="1">
    <w:name w:val="citação 2"/>
    <w:basedOn w:val="GradeColorida-nfase11"/>
    <w:link w:val="citao2Char"/>
    <w:rsid w:val="000A23DA"/>
    <w:rPr>
      <w:szCs w:val="20"/>
    </w:rPr>
  </w:style>
  <w:style w:type="character" w:styleId="citao2Char" w:customStyle="1">
    <w:name w:val="citação 2 Char"/>
    <w:basedOn w:val="GradeColorida-nfase1Char"/>
    <w:link w:val="citao2"/>
    <w:rsid w:val="000A23DA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paragraph" w:styleId="ad" w:customStyle="1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cs="Times New Roman" w:hAnsi="Times New Roman"/>
      <w:color w:val="000000"/>
    </w:rPr>
  </w:style>
  <w:style w:type="paragraph" w:styleId="TtulodaTabela" w:customStyle="1">
    <w:name w:val="Título da Tabela"/>
    <w:basedOn w:val="Normal"/>
    <w:rsid w:val="000575AE"/>
    <w:pPr>
      <w:widowControl w:val="0"/>
      <w:suppressLineNumbers w:val="1"/>
      <w:suppressAutoHyphens w:val="1"/>
      <w:spacing w:after="120"/>
      <w:jc w:val="center"/>
    </w:pPr>
    <w:rPr>
      <w:rFonts w:ascii="Times New Roman" w:cs="Times New Roman" w:eastAsia="Arial Unicode MS" w:hAnsi="Times New Roman"/>
      <w:b w:val="1"/>
      <w:bCs w:val="1"/>
      <w:i w:val="1"/>
      <w:iCs w:val="1"/>
      <w:szCs w:val="20"/>
    </w:rPr>
  </w:style>
  <w:style w:type="character" w:styleId="Refdecomentrio">
    <w:name w:val="annotation reference"/>
    <w:basedOn w:val="Fontepargpadro"/>
    <w:unhideWhenUsed w:val="1"/>
    <w:rsid w:val="00A66B7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 w:val="1"/>
    <w:rsid w:val="00A66B76"/>
    <w:rPr>
      <w:szCs w:val="20"/>
    </w:rPr>
  </w:style>
  <w:style w:type="character" w:styleId="TextodecomentrioChar" w:customStyle="1">
    <w:name w:val="Texto de comentário Char"/>
    <w:basedOn w:val="Fontepargpadro"/>
    <w:link w:val="Textodecomentrio"/>
    <w:rsid w:val="00A66B76"/>
    <w:rPr>
      <w:rFonts w:ascii="Ecofont_Spranq_eco_Sans" w:cs="Tahoma" w:hAnsi="Ecofont_Spranq_eco_Sans"/>
    </w:rPr>
  </w:style>
  <w:style w:type="paragraph" w:styleId="Corpodetexto21" w:customStyle="1">
    <w:name w:val="Corpo de texto 21"/>
    <w:basedOn w:val="Normal"/>
    <w:rsid w:val="002C281B"/>
    <w:pPr>
      <w:suppressAutoHyphens w:val="1"/>
      <w:ind w:firstLine="2835"/>
      <w:jc w:val="both"/>
    </w:pPr>
    <w:rPr>
      <w:rFonts w:cs="Times New Roman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 w:val="1"/>
    <w:rsid w:val="0095046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950461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95046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950461"/>
    <w:rPr>
      <w:rFonts w:ascii="Ecofont_Spranq_eco_Sans" w:cs="Tahoma" w:hAnsi="Ecofont_Spranq_eco_Sans"/>
      <w:sz w:val="24"/>
      <w:szCs w:val="24"/>
    </w:rPr>
  </w:style>
  <w:style w:type="paragraph" w:styleId="Nivel1" w:customStyle="1">
    <w:name w:val="Nivel1"/>
    <w:basedOn w:val="Ttulo1"/>
    <w:next w:val="Normal"/>
    <w:link w:val="Nivel1Char"/>
    <w:qFormat w:val="1"/>
    <w:rsid w:val="00DC3203"/>
    <w:pPr>
      <w:numPr>
        <w:numId w:val="13"/>
      </w:numPr>
      <w:tabs>
        <w:tab w:val="left" w:pos="2268"/>
      </w:tabs>
      <w:spacing w:after="120" w:before="480" w:line="276" w:lineRule="auto"/>
      <w:ind w:left="357" w:hanging="357"/>
      <w:jc w:val="both"/>
    </w:pPr>
    <w:rPr>
      <w:rFonts w:ascii="Arial" w:cs="Arial" w:hAnsi="Arial"/>
      <w:b w:val="1"/>
      <w:color w:val="auto"/>
      <w:sz w:val="20"/>
      <w:szCs w:val="20"/>
    </w:rPr>
  </w:style>
  <w:style w:type="paragraph" w:styleId="Nivel01Titulo" w:customStyle="1">
    <w:name w:val="Nivel_01_Titulo"/>
    <w:basedOn w:val="Ttulo1"/>
    <w:next w:val="Normal"/>
    <w:qFormat w:val="1"/>
    <w:rsid w:val="00DC3203"/>
    <w:pPr>
      <w:tabs>
        <w:tab w:val="left" w:pos="567"/>
      </w:tabs>
      <w:ind w:left="360" w:hanging="360"/>
      <w:jc w:val="both"/>
    </w:pPr>
    <w:rPr>
      <w:rFonts w:ascii="Arial" w:cs="Times New Roman" w:hAnsi="Arial"/>
      <w:b w:val="1"/>
      <w:bCs w:val="1"/>
      <w:color w:val="auto"/>
      <w:sz w:val="20"/>
      <w:szCs w:val="20"/>
    </w:rPr>
  </w:style>
  <w:style w:type="character" w:styleId="Ttulo1Char" w:customStyle="1">
    <w:name w:val="Título 1 Char"/>
    <w:basedOn w:val="Fontepargpadro"/>
    <w:link w:val="Ttulo1"/>
    <w:rsid w:val="00DC3203"/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character" w:styleId="Nivel1Char" w:customStyle="1">
    <w:name w:val="Nivel1 Char"/>
    <w:basedOn w:val="Ttulo1Char"/>
    <w:link w:val="Nivel1"/>
    <w:rsid w:val="00DC3203"/>
    <w:rPr>
      <w:rFonts w:ascii="Arial" w:cs="Arial" w:hAnsi="Arial" w:eastAsiaTheme="majorEastAsia"/>
      <w:b w:val="1"/>
      <w:color w:val="365f91" w:themeColor="accent1" w:themeShade="0000BF"/>
      <w:sz w:val="32"/>
      <w:szCs w:val="32"/>
    </w:rPr>
  </w:style>
  <w:style w:type="paragraph" w:styleId="PargrafodaLista">
    <w:name w:val="List Paragraph"/>
    <w:basedOn w:val="Normal"/>
    <w:qFormat w:val="1"/>
    <w:rsid w:val="00C012C7"/>
    <w:pPr>
      <w:ind w:left="720"/>
      <w:contextualSpacing w:val="1"/>
    </w:pPr>
  </w:style>
  <w:style w:type="paragraph" w:styleId="Recuonormal1" w:customStyle="1">
    <w:name w:val="Recuo normal1"/>
    <w:basedOn w:val="Normal"/>
    <w:rsid w:val="004F48D4"/>
    <w:pPr>
      <w:widowControl w:val="0"/>
      <w:ind w:left="708"/>
    </w:pPr>
    <w:rPr>
      <w:rFonts w:ascii="Times New Roman" w:cs="Times New Roman" w:hAnsi="Times New Roman"/>
      <w:sz w:val="24"/>
      <w:lang w:eastAsia="zh-CN" w:val="pt-PT"/>
    </w:rPr>
  </w:style>
  <w:style w:type="paragraph" w:styleId="Citao">
    <w:name w:val="Quote"/>
    <w:basedOn w:val="Normal"/>
    <w:next w:val="Normal"/>
    <w:link w:val="CitaoChar"/>
    <w:uiPriority w:val="29"/>
    <w:qFormat w:val="1"/>
    <w:rsid w:val="005A4F65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lang w:eastAsia="en-US"/>
    </w:rPr>
  </w:style>
  <w:style w:type="character" w:styleId="CitaoChar" w:customStyle="1">
    <w:name w:val="Citação Char"/>
    <w:basedOn w:val="Fontepargpadro"/>
    <w:link w:val="Citao"/>
    <w:uiPriority w:val="29"/>
    <w:rsid w:val="005A4F65"/>
    <w:rPr>
      <w:rFonts w:ascii="Arial" w:cs="Tahoma" w:eastAsia="Calibri" w:hAnsi="Arial"/>
      <w:i w:val="1"/>
      <w:iCs w:val="1"/>
      <w:color w:val="000000"/>
      <w:szCs w:val="24"/>
      <w:shd w:color="auto" w:fill="ffffcc" w:val="clear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 w:val="1"/>
    <w:unhideWhenUsed w:val="1"/>
    <w:rsid w:val="00080D3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semiHidden w:val="1"/>
    <w:rsid w:val="00080D33"/>
    <w:rPr>
      <w:rFonts w:ascii="Arial" w:cs="Tahoma" w:hAnsi="Arial"/>
      <w:b w:val="1"/>
      <w:bCs w:val="1"/>
    </w:rPr>
  </w:style>
  <w:style w:type="paragraph" w:styleId="standard" w:customStyle="1">
    <w:name w:val="standard"/>
    <w:basedOn w:val="Normal"/>
    <w:rsid w:val="000A0A9C"/>
    <w:pPr>
      <w:suppressAutoHyphens w:val="1"/>
    </w:pPr>
    <w:rPr>
      <w:rFonts w:ascii="Arial Unicode MS" w:cs="Arial Unicode MS" w:eastAsia="Arial Unicode MS" w:hAnsi="Arial Unicode MS"/>
      <w:sz w:val="24"/>
      <w:lang w:eastAsia="zh-CN"/>
    </w:rPr>
  </w:style>
  <w:style w:type="paragraph" w:styleId="Default" w:customStyle="1">
    <w:name w:val="Default"/>
    <w:rsid w:val="00E119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ifrs.edu.br/ibiruba/" TargetMode="External"/><Relationship Id="rId2" Type="http://schemas.openxmlformats.org/officeDocument/2006/relationships/hyperlink" Target="mailto:licitacao@ibiruba.ifrs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iss8lam6sFIMFEB9XiGlAkQPg==">CgMxLjAyCGguZ2pkZ3hzOABqMQoUc3VnZ2VzdC44enZmZ3dkcGFtN3cSGUx1Y2FzIFdvaGxtdXRoIGRvcyBTYW50b3NyITFDeWVwUFJLcUk5LVFDSjRCZ3FmbzNHVm5sX2dEQ3FqRg==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2018-05-02T14:19:00Z</dcterms:created>
  <dc:creator>Adriano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0x010100B034BE849E562941B1F7CE1AD3DB95B0</vt:lpwstr>
  </property>
</Properties>
</file>